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24.10.2022, оставленным без изменения постановлением Тринадцатого арбитражного апелляционного суда от 27.12.2022 и постановлением Арбитражного суда Северо-Западного округа от 12.04.2023, в удовлетворении заявления отказано. В кассационной жалобе Дунаева Е.М. просит об отмене судебных актов, ссылаясь на ошибочные выводы судов о правах на квартиру и отсутствии нарушений при ее продаже.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квартиры, находящейся в единоличной собственности должника и в залоге на условиях, определенных залоговым кредитором, поэтому в силу статей 110, 111, 139, 213.25, 213.26 Федерального закона от 26.10.2002 № 127-ФЗ «О несостоятельности (банкротстве)», статьи 449 Гражданского кодекса Российской Федерации отклонили требования. Доводы кассационной жалобы были предметом рассмотрения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Дунаевой Елене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