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21.11.2022, оставленным без изменения постановлением Девятого арбитражного апелляционного суда от 14.02.2023 и постановлением Арбитражного суда Московского округа от 26.04.2023, заявление удовлетворено. В кассационной жалобе Журавлев Р.А. просит об отмене судебных актов, ссылаясь на игнорирование обстоятельств совершения сделок и пропуска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заинтересованными лицами безвозмездных последовательных сделок по отчуждению спорной квартиры и долей в праве собственности на нее, направленных на избежание обращения взыскания по существующим обязательствам должника перед кредиторами, обусловливающее в силу статьи 61.2 Федерального закона от 26.10.2002 № 127-ФЗ «О несостоятельности (банкротстве)» и статей 10, 168 Гражданского кодекса Российской Федерации недействительность сделок. Довод о пропуске срока исковой давности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Журавлеву Руслану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