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20.04.2023 ходатайство должника удовлетворено, дело передано по подсудности в Арбитражный суд Республики Татарстан. Постановлением Пятнадцатого арбитражного апелляционного суда от 24.05.2023 определение суда первой инстанции отменено, в удовлетворении ходатайства о передаче дела по подсудности отказано. В кассационной жалобе Озорнина О.А. просит об отмене постановления апелляционного суда и наличие оснований для изменения подсудности.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2 Выводы апелляционного суда об отсутствии оснований для передачи дела в Арбитражный суд Республики Татарстан соответствуют статьям 38, 39 Арбитражного процессуального кодекса Российской Федерации, разъяснениям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и установленным обстоятельствам, свидетельствующим о месте пребывания должника и осуществления им хозяйственной деятельности.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Озорниной Оксане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