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с ограниченной ответственностью «СТГ-Эко» обратилось в суд с заявлением о признании недействительными сделками договоров подряда от 12.12.2016 №1 и от 16.06.2017 № ГП СМР-06/2167, заключенных должником с обществом «ПОИСК», а также сделок по перечислению должником в пользу общества «ПОИСК» 351 660 299 рублей 69 копеек; просил о применении последствий недействительности сделок. Определением Арбитражного суда города Москвы от 09.09.2022, оставленный без изменения постановлениями Девятого арбитражного апелляционного суда от 21.12.2022 и Арбитражного суда Московского округа от 11.04.2023, заявление удовлетворено, применены последствия недействительности сделок в виде взыскания с общества «ПОИСК» в пользу должника 351 660 299 рублей 69 копеек.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должника, отсутствии доказательств наличия встречного исполнения, возможности у общества «ПОИСК» совершить оспариваемые сделки и финансовой целесообразности данных сделок для должника,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