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Удовиченко Елена Станиславовна обратилась в суд с заявлением о признании недействительным договора субподряда от 11.04.2021 № СР11.04/1 заключённого между должником и обществом «СтройПодрядСервис», применении последствий недействительности сделки. Определением Арбитражного суда Волгоградской области от 09.09.2022, оставленным без изменения постановлениями Двенадцатого арбитражного апелляционного суда от 19.01.2023 и Арбитражного суда Поволжского округа от 13.04.2023, заявление конкурсного управляющего удовлетворено, договор субподряда признан недействительным, применены последствия недействительности сделки в виде взыскания с общества «СтройПодрядСервис» в конкурсную массу должника 23 878 794 рублей. В кассационной жалобе, поданной в Верховный Суд Российской Федерации, заявитель просит отменить оспариваемые судебные акты, обособленный спор направить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170 Гражданского кодекса Российской Федерации, статьями 61.2, 61.6 Федерального закона от 26.10.2002 № 127-ФЗ «О несостоятельности (банкротстве)», установив, что общество «СтройПодрядСервис», приняв у должника денежные средства, доказательств встречного исполнения договора субподряда не представило, признали заявление конкурсного управляющего обоснованным и подлежащим удовлетворению,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