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договора беспроцентного займа от 28.06.2017 № 84, заключённого должником с обществом с ограниченной ответственностью «Унимод», дополнительные соглашениями к указанному договору; перечисление денежных средств с расчетного счета должника в пользу общества «Унимод»; признании недействительными соглашений о зачете взаимных требований от 21.07.2017 и от 02.10.2017; применении последствий недействительности сделок в виде взыскания с общества «Унимод» в пользу должника 103 294 000 рублей. Определением Арбитражного суда Челябинской области от 08.11.2022, оставленным без изменения постановлениями Восемнадцатого арбитражного апелляционного суда от 17.01.2023 и Арбитражного суда Уральского округа от 11.04.2023, в удовлетворении требований отказано. В кассационной жалобе, поданной в Верховный Суд Российской Федерации, заявитель просит отменить оспариваемые судебные акты, обособленный спор направить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оценив представленные в материалы дела доказательства, руководствуясь статьями 10, 168 Гражданского кодекса Российской Федерации, статьёй 61.2 Федерального закона от 26.10.2002 № 127- ФЗ «О несостоятельности (банкротстве)», исходили из недоказанности конкурсным управляющим совокупности обстоятельств для признания оспариваемых сделок недействительными, а также злоупотреблении правом при их совершении.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