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Иркутской области от 26.10.2022 принят отчёт конкурсного управляющего о результатах конкурсного производства в отношении должника, конкурсное производство завершено. Общество «ИркутскЛифтСервис» обратилось в суд апелляционной инстанции с жалобой на определение суда первой инстанции от 26.10.2022. Постановлением Четвертого арбитражного апелляционного суда от 25.01.2023, оставленным без изменения постановлением Арбитражного суда Восточно–Сибирского округа от 12.04.2023, определение суда первой инстанции оставлено без изменения. В кассационной жалобе, поданной в Верховный Суд Российской Федерации, заявитель просит отменить оспариваемые судебные акты. Исходя из доводов жалобы, заявитель не согласен с принятием судами отчёта конкурсного управляющего. Жалоба изучена в пределах заявленных в ней доводов.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Принимая отчёт конкурсного управляющего, суды, руководствуясь статьями 129, 143, 147 Федерального закона от 26.10.2002 № 127-ФЗ «О несостоятельности (банкротстве)», исходили из соответствия отчёта и предоставленных к нему материалов требованиям законодательства о банкротстве.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Доводы заявителя были предметом рассмотрения судов, получили надлежащую правовую оценку 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