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Милюковой Н.Н. в Арбитражный суд города Москвы обратился финансовый управляющий имуществом должника Тотьмянин А.А. с заявлением о признании недействительным займа, оформленного распиской от 30.12.2019, между должником и Лесиным П.Б., и применении последствий недействительности сделки. Определением Арбитражного суда города Москвы от 15.04.2022, оставленным без изменения постановлением Девятого арбитражного апелляционного суда от 22.07.2022, заявление удовлетворено. Лесин П.Б. обратился в Арбитражный суд Московского округа с кассационной жалобой на принятые судебные акты. Определением Арбитражного суда Московского округа от 24.04.2023 прекращено производство по кассационной жалобе применительно к пункту 1 части 1 статьи 150 Арбитражного процессуального кодекса Российской Федерации в связи с пропуском срока ее подачи и отказом в удовлетворении ходатайства о его восстановлении. Арбитражный суд Московского округа определением от 26.05.2023 определение окружного суда оставил без изменения. 2 Лесин П.Б.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117, 123, 188, 176,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что явилось основанием для прекращения производства по жалобе.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прекращении производства по жалобе заявителя.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