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Клещева С.А. в Арбитражный суд Челябинской области обратился должник с ходатайством об исключении из конкурсной массы единственного пригодного для постоянного проживания жилого помещения: жилого дома и земельного участка. Определением Арбитражного суда Челябинской области от 24.10.2022 в удовлетворении заявления отказано. Постановлением Восемнадцатого арбитражного апелляционного суда от 21.12.2022 определение суда первой инстанции оставлено без изменения. Арбитражный суд Уральского округа постановлением от 29.05.2023 указанные судебные акты отменил и направил обособленный спор на новое рассмотрение в Арбитражный суд Челябинской области. Финансовый управляющий Дубарева И.В.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необходимости полного и всестороннего исследования и оценки представленных доказательств, с учетом доводов и возражений участвующих в споре лиц,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