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«М-групп» обратилось в Арбитражный суд Ярославской области с иском, уточненным в порядке статьи 49 Арбитражного процессуального кодекса Российской Федерации, о взыскании с ООО «Строитель» 1 886 967 рублей 74 копеек основного долга, 351 559 рублей 20 копеек неустойки за период с 11.12.2021 по 31.03.2022 и 176 787 рублей 15 копеек неустойки за период с 01.04 2022 по 28.06.2022 по договору на оказание услуг по перевозке грузов от 15.07.2021 № 15/07-02/2021. Судом принят встречный иск ООО «Строитель» к ООО «М-групп» о взыскании 295 200 рублей неустойки и 5 464 800 рублей упущенной выгоды. Решением Арбитражного суда Ярославской области от 19.11.2022 первоначальный иск удовлетворен в части взыскания 1 886 967 рублей 74 копеек долга и 347 319 рублей неустойки, в удовлетворении первоначального иска в остальной части отказано; принят отказ истца от встречного иска, производство по встречному иску прекращено. Постановлением Второго арбитражного апелляционного суда от 09.02.2023 решение суда первой инстанции оставлено без изменения. Арбитражный суд Волго-Вятского округа постановлением от 28.04.2023 указанные судебные акты оставил без изменения. ООО «Строитель» обратилось в Судебную коллегию Верховного Суда Российской Федерации с кассационной жалобой на принятые по делу судебные 2 акты в части удовлетворения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309, 310, 785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признав доказанным факт оказания истцом услуг по перевозке груза и отсутствие доказательств их оплаты в полном объеме, суды пришли к выводу о наличии оснований для удовлетворения первоначального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