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проанализировав условия договора лизинга, установив ненадлежащее 2 исполнение истцом (лизингополучатель) обязательств по внесению лизинговых платежей, направление ответчиком (лизингополучатель) уведомления о расторжении договора, руководствуясь положениями законодательства, регулирующего спорные правоотношения, пришли к выводу об отсутствии оснований для удовлетворения исковых требований о признании отказа лизингодателя от исполнения договора недействительным. Из содержания судебных актов следует, что суд апелляционной инстанции всесторонне исследовал доказательства по делу, установил необходимые для разрешения спора обстоятельства, а суд округа дал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«Нерудстрой»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