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Верховным Судом Российской Федерации 04.08.2023 вынесено определение об отказе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При изготовлении текста названного судебного акта в вводной и резолютивной частях была допущена опечатка в указании наименования заявителя кассационной жалобы. При указанных обстоятельствах, руководствуясь статьей 179 Арбитражного процессуального кодекса Российской Федерации, суд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исправить в определении об отказе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допущенную опечатку. Считать заявителем кассационной жалобы – общество с ограниченной ответственностью «Заря-СМ».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