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01.12.2022, оставленным без изменения постановлением Семнадцатого арбитражного апелляционного суда от 24.01.2023 и постановлением Арбитражного суда Уральского округа от 05.04.2023, в удовлетворении заявления отказано. В кассационной жалобе Удачин В.Г. просит об отмене судебных актов, ссылаясь на неосновательное придание преюдициального значения решению суда общей юрисдикции и неисследование обстоятельств и доказательств, заявленных в настоящем споре.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заявленное требование не отвечающим критериям статей 71, 100 Федерального закона от 26.10.2002 № 127-ФЗ «О несостоятельности (банкротстве)», пункта 3 статьи 69 Арбитражного процессуального кодекса Российской Федерации и предъявленным за пределами срока исковой давности для включения в реестр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Удачину Вячеславу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