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Первого арбитражного апелляционного суда от 07.12.2022, оставленным без изменения постановлением Арбитражного суда Волго-Вятского округа от 05.04.2023, в удовлетворении заявления отказано. В кассационной жалобе ФИО1, ФИО2 и ФИО3 просят о пересмотре указанных судебных актов, ссылаясь на неправильную оценку заявленного обстоятельства.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влияния заявленного обстоятельства на существо судебного акта, необходимого для пересмотра его в силу пункта 1 части 2 статьи 311 Арбитражного процессуального кодекса Российской Федерации. Доводы заявителей получили оценку и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ФИО1, ФИО2 и ФИО3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