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06.03.2023, оставленным без изменения постановлением Арбитражного суда Московского округа от 29.05.2023, в удовлетворении заявления отказано. В кассационной жалобе ФИО1 просит об отмене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заявленное обстоятельство и признали отсутствие его влияния на существо постановления, необходимого в силу пункта 1 части 2 статьи 311 Арбитражного процессуального кодекса Российской Федерации для пересмотра этого судебного акта. Отличная от судебной позиция должника не создает основания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МСОПАУ (подробнее) А/у Милантьев А.И. (подробнее) Управление Росреестра (подробнее) ф/у Милантьев А.И.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