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7 августа 2023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доводы кассационной жалобы не подтверждают наличие оснований, предусмотренных статьями 2916, 29111 Арбитражного процессуального кодекса Российской Федерации, для передачи жалобы для рассмотрения в судебном заседании Судебной коллегии Верховного Суда Российской Федерации и пересмотра обжалуемых судебных актов, поскольку не позволяют сделать вывод о том, что при рассмотрении дела допущены нарушения норм материального права и (или) норм процессуального права, приведшие к судебной ошибке существенного и непреодолимого характера. Руководствуясь статьями 2916, 2918 Арбитражного процессуального кодекса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обществу с ограниченной ответственностью «Уралторгсервис»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М.К.Антонова Суд: Верховный Суд РФ (подробнее) Истцы: Федеральное казенное учреждение "Центральное окружное управление материально-технического снабжения Министерства внутренних дел Российской Федерации" (подробнее) Ответчики: ООО "Уралторгсервис" (подробнее) Судьи дела: Антонова М.К. (судья) (подробнее)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