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с учетом установленных фактических обстоятельств дела, руководствуясь положениями гражданского 2 законодательства и законодательства, регулирующего обращение с твердыми коммунальными отходами и порядок их коммерческого учета объема и (или) массы, пришли к выводу о недоказанности истцом факта оказания ответчику спорных услуг в заявленный период.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унитарного муниципального предприятия «Спецавтохозяйство города Томска»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