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16.01.2023, оставленным без изменения определением того же суда от 25.04.2023,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2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