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18.01.2023, оставленным без изменения определением того же суда от 18.04.2023,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