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кассационных жалобах, поданных в Верховный Суд Российской Федерации, заявители, ссылаясь на нарушение судами норм права, просят пересмотреть указанные судебные акты в кассационном порядке. Бурштейн И.М., Банк ВТБ (публичное акционерное общество) и компания выражают несогласие с выводами судов в части удовлетворения исковых требований, а публичное акционерное общество «Татфондбанк» в лице 2 конкурсного управляющего, общество в лице конкурсного управляющего и управление – в части отказа в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принимая во внимание вступившие в законную силу судебные акты по другим арбитражным делам, в том числе о признании требования ответчика к истцу обоснованным, а также встречный характер обязательств сторон и правовую природу сальдирования, осуществив перерасчет процентов за пользование чужими денежными средствами с учетом установленного размера задолженности и периода взыскания, отклонив доводы ответчика о пропуске истцом срока исковой давности, суды удовлетворили иск частично.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заявителей со ссылкой на положения норм действующего законодательства применительно к установленным фактическим обстоятельствам дела. Доводы кассационных жалоб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 Поскольку в передаче кассационных жалоб для рассмотрения в судебном заседании Судебной коллегии Верховного Суда Российской Федерации отказано, оснований для истребования дела не имеется, в соответствии с частью 5 статьи 291.6 Арбитражного процессуального кодекса Российской Федерации ходатайства о приостановлении исполнения обжалуемых судебных актов рассмотрению не подлежат.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Бурштейна Игоря Моисеевича, Банка ВТБ (публичное акционерное общество), общества с ограниченной ответственностью «Региональная инвестиционная компания», публичного акционерного общества «Татфондбанк» в лице конкурсного управляющего Государственной корпорации «Агентство по страхованию вкладов», общества с ограниченной ответственностью «Мостострой-12» в лице конкурсного управляющего Карпенко Александра Юрьевича и Федеральной налоговой службы России в лице Управления Федеральной налоговой службы России по Тюменской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