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Волго-Вятского округа от 25.01.2023, оставленным без изменения определением того же суда от 18.04.2023,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2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