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16.01.2023, оставленным без изменения определением того же суда от 18.04.2023,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