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с учетом установленных фактических обстоятельств дела, руководствуясь положениями гражданского законодательства 2 и законодательства, регулирующего обращение с твердыми коммунальными отходами и порядок их коммерческого учета объема и (или) массы, пришли к выводу о недоказанности истцом факта оказания ответчику спорных услуг в заявленный период.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«РТ-НЭО Иркутск»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