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обжалуемые судебные акты, суды руководствовались положениями законодательства, регулирующего спорные правоотношения, и исходили из доказанности факта оказания истцом услуг по обращению с твердыми коммунальными отходами и отсутствия доказательств их оплаты 2 ответчиком. Проверив расчет стоимости оказанных услуг, суды пришли к выводу о необходимости применения тарифа, установленного уполномоченным органом для категории «иные потребители» без увеличения тарифа на сумму НДС, и удовлетворили иск частично.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«Гринта»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