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29.07.2022. Определением Арбитражного суда Костромской области от 13.09.2022, оставленным без изменения постановлением Второго арбитражного апелляционного суда от 17.11.2022 и постановлением Арбитражного суда Волго-Вятского округа от 05.05.2023,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