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31.07.2023 обратился в Верховный Суд Российской Федерации с жалобой на определение судьи Верховного Суда Российской Федерации от 29.05.2023 № 309-ЭС23-7670, решение Арбитражного суда Свердловской области от 21.06.2022, постановление Семнадцатого арбитражного апелляционного суда от 26.10.2022 и постановление Арбитражного суда Уральского округа от 20.02.2023 по делу № А60-64234/2021,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2 срок, если признает причины пропуска уважительными и если не истекли предусмотренные статьями 259, 276, 2912, 3081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Федерации,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Причины пропуска рассматриваемого срока, приведенные заявителем, к числу уважительных не относятся. С учетом изложенного в удовлетворении ходатайства о восстановлении пропущенного процессуального срока следует отказать, жалобу - возвратить заявителю. Руководствуясь статьями 117, 2912 Арбитражного процессуального кодекса Российской Федерации, судья,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общества с ограниченной ответственностью «Сигнал» о восстановлении пропущенного процессуального срока отказать. Жалобу возвратить заявителю.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