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16.01.2023, оставленным без изменения определением окружного суда от 02.05.2023,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