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08.12.2022 процедура реализации имущества Коробко В.Б.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должника. Постановлением Седьмого арбитражного апелляционного суда от 09.02.2023 определение суда первой инстанции отменено в части освобождения должника от дальнейшего исполнения требований Черданцева В.В. и в этой части принят новый судебный акт о неприменении правил об освобождении должника от исполнения обязательств перед указанным кредитором. Арбитражный суд Западно-Сибирского округа постановлением от 25.04.2023 постановление суда апелляционной инстанции отменил и оставил в силе определение суда первой инстанции. Черданцев В.В. обратился в Судебную коллегию Верховного Суда Российской Федерации с кассационными жалобами на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Освобождая должника от дальнейшего исполнения требований кредиторов, суд первой инстанции, с выводом которого согласился окружной суд,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