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«Фарес» обратилось в Арбитражный суд города Москвы с иском о взыскании с ООО «ТК Бертц» 719 400 рублей задолженности по договору транспортной экспедиции, 49 081 рубля 80 копеек договорной неустойки, 71 940 рублей штрафа, а также неустойки по дату фактической оплаты задолженности. Решением Арбитражного суда города Москвы от 26.09.2022, оставленным без изменения постановлением Девятого арбитражного апелляционного суда от 14.12.2022, иск удовлетворен. Арбитражный суд Московского округа постановлением от 11.04.2023 указанные судебные акты в части взыскания неустойки, штрафа и расходов по уплате государственной пошлины отменил и в указанной части направил дело на новое рассмотрение в Арбитражный суд города Москвы; в остальной части названные судебные акты оставил без изменения. ООО «ТК Бертц»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иска,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несения экспедитором расходов по хранению контейнеров клиента и обязанность ответчика по их возмещению с учетом условий договора и пункта 2 статьи 5 Федерального закона от 30.06.2003 № 87-ФЗ «О транспортно-экспедиционной деятельности», суды пришли к выводу о наличии оснований для удовлетворения иска в части взыскания долга.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