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Шевцова Э.Н. в Арбитражный суд Иркутской области обратился Мальковец С.Ю. с заявлением, уточненным в порядке статьи 49 Арбитражного процессуального кодекса Российской Федерации, о признании договора займа от 07.02.2006 и дополнительного соглашения от 14.12.2007, подписанных между должником и Низовским В.В., незаключенными и недействительными. Определением Арбитражного суда Иркутской области от 27.02.2020 произведена замена ответчика Низовского В.В. на Комогорцева Е.Е.; Низовский В.В. привлечен к участию в данном обособленном споре в качестве третьего лица, не заявляющего самостоятельных требований относительно предмета спора. Определением Арбитражного суда Иркутской области от 10.11.2020, оставленным без изменения постановлением Четвертого арбитражного апелляционного суда от 29.03.2021, в удовлетворении заявления отказано. Постановлением Арбитражного суда Восточно-Сибирского округа от 18.08.2021 указанные судебные акты отменены, обособленный спор направлен на новое рассмотрение в суд первой инстанции. При новом рассмотрении спора определением Арбитражного суда Иркутской области от 19.07.2022, оставленным без изменения постановлением 2 Четвертого арбитражного апелляционного суда от 10.11.2022 и постановлением Арбитражного суда Восточно-Сибирского округа от 19.04.2023, в удовлетворении заявления Мальковца С.Ю. отказано. Мальковец С.Ю. обратился в Судебную коллегию Верховного Суда Российской Федерации с кассационной жалобой и дополнением к ней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Отказывая в удовлетворении заявления кредитора, суды учли установленные судом общей юрисдикции фактические обстоятельства получения денежных средств и реальность оспариваемой сделки, руководствовались положениями статей 10, 168, 170, 807, 808, 812 Гражданского кодекса Российской Федерации и исходили из недоказанности недобросовестности сторон при совершении сделки с учетом установленного факта заключения договора займа, оформленного в виде долговой расписки.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