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4 августа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кассационной жалобе, поданной в Верховный Суд Российской Федерации, заявитель, ссылаясь на нарушение судом округа норм материального права, просит пересмотреть указанный судебный акт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(статья 291.11 Арбитражного процессуального кодекса Российской Федерации). Таких оснований для пересмотра судебного акта по доводам кассационной жалобы, изученным по материалам истребованного дела, не установлено. Отменяя решение суда первой инстанции и постановление суда апелляционной инстанции в части и отказывая в удовлетворении исковых требований о взыскании процентов за пользование чужими денежными 2 средствами за спорный период, суд округа руководствовался статьями 395, 1107 Гражданского кодекса Российской Федерации и исходил из того, что соответствующие проценты подлежат начислению с учетом момента судебного расторжения договора. Изложенные в кассационной жалобе доводы не свидетельствуют о наличии существенных нарушений судом норм материального права и (или) процессуального права и не могут служить достаточными основаниями для отмены обжалуемого судебного акта. Руководствуясь статьями 291.6,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акционерного общества «Сбербанк Лизинг»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 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