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представленные в материалы дела доказательства, руководствуясь положениями действующего процессуального законодательства, исходя из того, что спорные расходы не соответствуют критерию экономичности, явно несоразмерны затратам, которые мог бы понести истец на обеспечение явки своих представителей в судебные 2 заседания, суд апелляционной инстанции пришел к выводу об отсутствии оснований для отнесения этих расходов на ответчика, с чем впоследствии согласился суд округа. Приведенные в кассационной жалобе доводы не опровергают выводы судов,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государственного унитарного предприятия «Авиакомплект»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