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законодательства, регулирующего спорные правоотношения, суды пришли к выводу о наличии оснований для частичного 2 удовлетворения иска, исходя из доказанности совокупности условий, необходимых для возложения на ответчика обязанности по возмещению убытков истца.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в том числе о неправомерном отнесении на него судебных расходов на проведение экспертизы.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«Медикал Термо Пак»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