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по представленные в материалы дела доказательства, проанализировав условия спорного договора и квалифицировав его как договор возмездного оказания услуг, установив факт оказания ответчику услуг истцом по первоначальному иску и их неоплаты, признав недоказанной совокупность условий для возложения на последнего ответственности в виде взыскания 2 убытков, руководствуясь положениями гражданского законодательства, суд апелляционной инстанции пришел к выводу о наличии оснований для удовлетворения первоначального иска в части взыскания с ответчика задолженности и отказа в удовлетворении встречных требований, с чем впоследствии согласился суд округа. Из содержания судебных актов следует, что суд апелляционной инстанции всесторонне исследовал доказательства по делу, установил необходимые для разрешения спора обстоятельства, а суд округа дал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«Квадратный метр»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