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исходя из доказанности факта причинения ответчиком вреда 2 имуществу истца при исполнении заключенного сторонами контракта, наличия вины ответчика в причинении вреда истцу и причинно-следственной связи между повреждением имущества и действиями ответчика, суды признали обоснованными исковые требования об обязании ответчика выполнить восстановительные работы.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«Торговый дом «Дельта»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