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 ставится вопрос о ее передаче для рассмотрения в судебном заседании Судебной коллегии по экономическим спорам Верховного Суда Российской Федерации.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Отказывая в удовлетворении ходатайства о восстановлении пропущенного срока подачи кассационной жалобы и возвращая жалобу, суд округа, руководствуясь положениями статей 117, 276, 281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30.06.2020 № 13 «О применении Арбитражного процессуального 2 кодекса Российской Федерации при рассмотрении дел в арбитражном суде кассационной инстанции», исходил из того, что приведенные заявителем причины пропуска срока не являются уважительными. С указанными выводами согласился суд округа при рассмотрении жалобы заявителя, поданной в порядке статьи 291 Арбитражного процессуального кодекса Российской Федерации. Доводы кассационной жалобы были предметом рассмотрения суда и получили правовую оценку, не опровергают выводы суда и не подтверждают существенных нарушений норм права, повлиявших на исход дела.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«Курортинвест»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