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обратилась финансовый управляющий имуществом должника ФИО3 с заявлением о признании недействительным отказа должника в пользу гражданки ФИО4 от наследства – ½ доли наследства – 1/3 доли квартиры, принадлежавшей наследодателю ФИО5 на праве общей совместной без определения долей собственности, и применении последствий недействительности сделки. Определением Арбитражного суда города Москвы от 17.11.2022, оставленным без изменения постановлением Девятого арбитражного апелляционного суда от 27.01.2023 и постановлением Арбитражного суда Московского округа от 07.04.2023, в удовлетворении заявления отказано. ФИО4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конкретных обстоятельств спора и недоказанности заявителем наличия совокупности обстоятельств, необходимой для признания сделки недействительной как совершенной с целью причинения имущественного вреда кредиторам, при отсутствии в действиях сторон сделки признаков недобросовестности.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Дегтярёв Руслан Владимирович (подробнее) ИФНС России №14 по г. Москве (подробнее) ООО "Нэйва" (подробнее) ООО "Столичное агентство по возврату долгов" (подробнее) ПАО "МТС-Банк" (подробнее) ф/у Шалаева Н.Н.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