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Ракитиной Светланы Геннадьевны в Арбитражный суд Тюменской области обратился финансовый управляющий имуществом должника с заявлением, уточненным в порядке статьи 49 Арбитражного процессуального кодекса Российской Федерации, о признании недействительными сделок по отчуждению квартиры, опосредованной договором дарения от 20.06.2012, заключенным между должником и Ракитиной Л.Н., а также договором дарения от 12.01.2022, заключенным между Ракитиной Л.Н. и Прохоровой Н.Г.; домовладения в составе земельного участка и жилого помещения, опосредованной договором дарения от 20.06.2012, заключенным между должником и Ракитиной Л.Н., заявлением Ракитиной Л.Н. от 19.12.2014 о прекращении права, соглашением о перераспределении земельных участков от 16.01.2018, заявлением Ракитиной Л.Н. от 22.04.2022 о государственном кадастровом учете и государственной регистрации и договором дарения от 18.03.2021, заключенным между Ракитиной Л.Н. и Прохоровой Н.Г., и применении последствий недействительности сделок. 2 Определением Арбитражного суда Тюменской области от 25.10.2022 в удовлетворении заявления отказано. Постановлением Восьмого арбитражного апелляционного суда от 18.01.2023 определение суда первой инстанции оставлено без изменения. Арбитражный суд Западно-Сибирского округа постановлением от 05.04.2023 указанные судебные акты оставил без изменения. Индивидуальный предприниматель Ясько С.А.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Оставляя определение суда первой инстанции без изменения, суды апелляционной и кассационной инстанций руководствовались положениями статей 10, 168 Гражданского кодекса Российской Федерации и исходили из отсутствия при заключении должником спорных сделок признаков злоупотребления правом, учитывая отсутствие у должника признаков неплатежеспособности на момент совершения сделок и умысла на причинение вреда третьим лицам путем сокрытия имущества от обращения взыскания на него; оспариваемые сделки, равно как и видоизменение земельных участков и постановка на учет вновь образованного земельного участка находятся в рамках обычного поведения участников гражданского оборота, следуют личным целям; спорная квартира является единственным пригодным для постоянного проживания должника и членов его семьи жильем.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