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определением Арбитражного суда Саратовской области от 14.12.2022 процедура реализации имущества должника завершена, должник освобожден от дальнейшего исполнения обязательств перед кредиторами. Постановлением Двенадцатого арбитражного апелляционного суда от 02.03.2023 определение суда первой инстанции оставлено без изменения. Арбитражный суд Поволжского округа постановлением от 15.05.2023 указанные судебные акты оставил без изменения. АО «Юридическое Бюро Факториус»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Завершая процедуру реализации имущества должника, суды руководствовались положениями статей 213.2 , 213.25 ,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проведения необходимых мероприятий по выявлению и реализации имущества должника и отсутствия возможности пополнения конкурсной массы, признав наличие оснований для применения в отношении должника правил об освобождении от исполнения обязательств, не усмотрев в действиях должника недобросовестного поведения, умышленного уклонения от исполнения обязательств перед кредиторами,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Юридическое бюро ФАКТОРИУС (подробнее) Арбитражный суд Поволжского округа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