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суды пришли к выводу об удовлетворении первоначального иска и отказа в удовлетворении встречных требований, исходя 2 из недоказанности полного освоения подрядчиком на момент расторжения договора подряда перечисленных по нему заказчиком денежных средств, а также отсутствия правовых оснований для признания договоров поручительства недействительными, пропуска истцом по встречному иску срока исковой давности.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«Производство строительных материалов»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