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Удовлетворяя иск и подтверждая правильность этого вывода, суды,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исходили из установленных обстоятельств расторжения 2 истцом договора, невыполнения ответчиком обязательств на сумму полученных от истца денежных средств и отсутствия доказательств их возврата.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«Алев Групп»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