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законодательства, суды удовлетворили иск, исходя из доказанности факта наличия спорной задолженности и обязанности ответчика по ее оплате. 2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«УралИнтерьер»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