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по правилам статьи 71 Арбитражного процессуального кодекса Российской 2 Федерации, руководствуясь статьями 209, 210, 1102, 1104, 1105, 1107 Гражданского кодекса Российской Федерации, определив с учетом заключения судебной экспертизы, признанного надлежащим доказательством, стоимость противоаварийных работ, произведенных в отношении имущества ответчика по первоначальному иску, а также стоимость демонтированных в ходе выполнения этих работ элементов, суды пришли к выводу о наличии оснований для частичного удовлетворения первоначального иска и полного удовлетворения встречных требований.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городского хозяйства администрации муниципального образования «Балтийский городской округ»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