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19.09.2022, оставленным без изменения постановлением Девятого арбитражного апелляционного суда от 17.11.2022 и постановлением Арбитражного суда Московского округа от 07.02.2023, иск удовлетворен.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По запросу судьи Верховного Суда Российской Федерации от 25.05.2023 дело истребовано из Арбитражного суда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2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далее – АПК РФ). Таких оснований для пересмотра судебных актов по доводам кассационной жалобы, изученным по материалам истребованного дела, не установлено. Исследовав и оценив представленные в материалы дела доказательства по правилам статьи 71 АПК РФ, установив, что ответчиком (подрядчик) допущено нарушение сроков выполнения работ, за что договором предусмотрена ответственность в виде неустойки, доказательств, свидетельствующих об отсутствии его вины в просрочке выполнения работ, не представлено, суды пришли к выводу о правомерности начисления истцом (заказчик) неустойки. Проверив и признав верным представленный истцом расчет, указав на отсутствие со стороны ответчика заявления о применении статьи 333 Гражданского кодекса Российской Федерации (далее – ГК РФ) и снижении размера неустойки, руководствуясь статьями 309, 310, 329, 330, 702, 708, 711 ГК РФ, суды удовлетворили иск в полном объеме. Довод кассационной жалобы о неприменении судом первой инстанции при разрешении спора статьи 333 ГК РФ подлежит отклонению, поскольку из материалов дела не следует, что ответчик заявлял об уменьшении размера неустойки в порядке названной нормы и представлял доказательства ее явной несоразмерности последствиям нарушения обязательства, в связи с чем в силу части 2 статьи 9 АПК РФ несет риск наступления негативных последствий несовершения им процессуальных действий. Изложенные в кассационной жалобе доводы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«Астра»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