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 кассационной инстанций норм права, просит пересмотреть в кассационном порядке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Отменяя решение суда первой инстанции и удовлетворяя иск в части, суд апелляционной инстанций, с которым согласился суд округа,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2 исходя из установленных обстоятельств выполнения истцом (подрядчик) работ по договору, недоказанности ответчиком (заказчик) оснований для начисления и удержания неустойки при расчетах с истцом, пришел к выводу о наличии у заказчика задолженности по оплате выполненных работ в заявленном размере. Из содержания судебных актов следует, что суд апелляционной инстанции всесторонне исследовал доказательства по делу, установил необходимые для разрешения спора обстоятельства, а суд округа дал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акционерного общества «Фанерный завод «Власть труда»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