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апелляционной и кассационной инстанций норм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Отменяя определение суда первой инстанции и удовлетворяя заявленные требования, суд апелляционной инстанции руководствовался положениями действующего процессуального законодательства и исходил 2 из наличия правовых оснований для индексации присужденных денежных сумм в заявленном истцом размере. Суд округа поддержал выводы апелляционного суда, не установив нарушений норм процессуального права, влекущих отмену его постановления, мотивированно отклонив доводы заявителя. Доводы кассационной жалобы не подтверждают существенных нарушений судами апелляционной и кассационной норм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Сидоренко Сергея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