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доказательства, представленные заявителем в обоснование несения судебных расходов, руководствуясь положениями действующего процессуального законодательства, учитывая степень сложности дела, объем выполненной представителем работы, исходя из принципов 2 разумности и соразмерности, суды частично удовлетворили заявление о взыскании судебных расходов.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«Синтез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