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исходили из установленного факта нарушения ответчиком договорных 2 обязательств, правомерности произведенного истцом расчета неустойки и отсутствия оснований для применения статьи 333 Гражданского кодекса Российской Федерации.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