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принимая во внимание обстоятельства, установленные вступившим в законную силу судебным актом по другому арбитражному делу, руководствуясь положениями законодательства, регулирующего спорные правоотношения, 2 суд апелляционной инстанции, с которым впоследствии согласился суд округа, пришел к выводу о наличии оснований для частичного удовлетворения иска, исходя из доказанности совокупности условий, необходимых для возложения на ответчика обязанности по возмещению убытков истца, мотивированно отклонив доводы ответчика о пропуске истцом срока исковой давности. Из содержания судебных актов следует, что суд апелляционной инстанции всесторонне исследовал доказательства по делу, установил необходимые для разрешения спора обстоятельства, а суд округа дал правовую оценку доводам заявителя. Доводы кассационной жалобы не подтверждают существенных нарушений судами апелляционной и кассационной инстанций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«СтройТрансНефтеГаз»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