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Федотова Сергея Сергеевича в Арбитражный суд города Москвы обратился финансовый управляющий с заявлением о признании недействительной сделкой договора дарения машино-места от 04.07.2017, заключенного между должником и Федотовой К.Е. Определением Арбитражного суда города Москвы от 21.10.2022 заявление удовлетворено, признан недействительной сделкой договор дарения машино-места, применены последствия недействительности сделки в виде возврата имущества в конкурсную массу должника. Постановлением Девятого арбитражного апелляционного суда от 26.12.2022 определение суда первой инстанции оставлено без изменения. Арбитражный суд Московского округа постановлением от 21.03.2023 указанные судебные акты оставил без изменения. Федотова К.Е.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10, 168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оспариваемый договор дарения заключен за пределами периода подозрительности, установленного статьей 61.2 Федерального закона от 26.10.2002 № 127-ФЗ «О несостоятельности (банкротстве)», при этом оспариваемая сделка совершена в условиях злоупотребления правом, поскольку при наличии неисполненных существовавших обязательств перед иным кредитором должником произведено безвозмездное отчуждение в пользу заинтересованного с ним лица ликвидного имущества.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